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E42DF" w14:textId="372472FB" w:rsidR="001C290D" w:rsidRDefault="001C290D">
      <w:pPr>
        <w:rPr>
          <w:rFonts w:hint="eastAsia"/>
        </w:rPr>
      </w:pPr>
      <w:r w:rsidRPr="001C290D">
        <w:rPr>
          <w:rFonts w:ascii="Times New Roman" w:hAnsi="Times New Roman"/>
          <w:b/>
          <w:bCs/>
          <w:color w:val="EE0000"/>
          <w:kern w:val="0"/>
          <w:sz w:val="24"/>
        </w:rPr>
        <w:t>Supplementary Figure</w:t>
      </w:r>
      <w:r w:rsidRPr="001C290D">
        <w:rPr>
          <w:rFonts w:ascii="Times New Roman" w:hAnsi="Times New Roman" w:hint="eastAsia"/>
          <w:b/>
          <w:bCs/>
          <w:color w:val="EE0000"/>
          <w:kern w:val="0"/>
          <w:sz w:val="24"/>
        </w:rPr>
        <w:t>1:</w:t>
      </w:r>
      <w:r w:rsidRPr="001C290D">
        <w:rPr>
          <w:b/>
          <w:bCs/>
        </w:rPr>
        <w:t xml:space="preserve"> </w:t>
      </w:r>
      <w:r w:rsidRPr="001C290D">
        <w:rPr>
          <w:rFonts w:ascii="Times New Roman" w:hAnsi="Times New Roman"/>
          <w:b/>
          <w:bCs/>
          <w:color w:val="EE0000"/>
          <w:kern w:val="0"/>
          <w:sz w:val="24"/>
        </w:rPr>
        <w:t>Schematic of the video segmentation workflow.</w:t>
      </w:r>
      <w:r w:rsidRPr="001C290D">
        <w:rPr>
          <w:rFonts w:ascii="Times New Roman" w:hAnsi="Times New Roman"/>
          <w:b/>
          <w:bCs/>
          <w:color w:val="EE0000"/>
          <w:kern w:val="0"/>
          <w:sz w:val="24"/>
        </w:rPr>
        <w:br/>
      </w:r>
      <w:r w:rsidRPr="001C290D">
        <w:rPr>
          <w:rFonts w:ascii="Times New Roman" w:hAnsi="Times New Roman"/>
          <w:color w:val="EE0000"/>
          <w:kern w:val="0"/>
          <w:sz w:val="24"/>
        </w:rPr>
        <w:t>Withdrawal videos were sampled at 1 frame per second, and low-quality frames were excluded using the predefined quality-control algorithm. QUAD scores were assigned to each eligible frame. Mean QUAD scores were calculated for the full-length video and for the final 50%, 40%, 30%, 20%, 10%, and 5% portions of the video, which were defined according to withdrawal time. These segment-level scores were then used for relapse prediction analysis.</w:t>
      </w:r>
    </w:p>
    <w:sectPr w:rsidR="001C290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90D"/>
    <w:rsid w:val="000C01E3"/>
    <w:rsid w:val="001C290D"/>
    <w:rsid w:val="00964E19"/>
    <w:rsid w:val="00CA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E3EB02"/>
  <w15:chartTrackingRefBased/>
  <w15:docId w15:val="{3B270F92-636D-45C9-890B-F977944A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C290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9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90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290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290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290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290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290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290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C290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C290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C290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C29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C29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C29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C29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C29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C290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C290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C2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290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C290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29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C290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290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C290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C29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C290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C29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康晴</dc:creator>
  <cp:keywords/>
  <dc:description/>
  <cp:lastModifiedBy>前田　康晴</cp:lastModifiedBy>
  <cp:revision>1</cp:revision>
  <dcterms:created xsi:type="dcterms:W3CDTF">2026-06-17T10:16:00Z</dcterms:created>
  <dcterms:modified xsi:type="dcterms:W3CDTF">2026-06-17T10:18:00Z</dcterms:modified>
</cp:coreProperties>
</file>